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090a72fb5f47ac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36194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DJEČJI VRTIĆ ZLATOKOSA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IX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256.810,00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264.643,31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103,1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249.711,46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289.334,89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115,9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POSLOVANJA (šifre Z005-6)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24.691,58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5.786,41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PRIHODA OD NEFINANCIJSKE IMOVINE (šifre 7-4,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X002, 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5.786,41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24.691,58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Ukupno ostvareni poslovni prihodi u izvještajnom razdoblju iznose 264.643,31 eura. Ukupno ostvareni poslovni rashodi u izvještajnom razdoblju iznose 289.334,89 eura pa je samim tim ostvaren nedostatak poslovnog prihoda i rashoda u iznosu od 24.691,58 eura.</w:t>
      </w:r>
    </w:p>
    <w:p>
      <w:r>
        <w:br/>
      </w:r>
    </w:p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c1c497cab0541f0" /></Relationships>
</file>